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7FB93" w14:textId="578C3EB8"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00439E" w:rsidRPr="0000439E">
        <w:rPr>
          <w:b/>
          <w:i/>
          <w:noProof/>
          <w:sz w:val="28"/>
        </w:rPr>
        <w:t>R4-1710961</w:t>
      </w:r>
    </w:p>
    <w:p w14:paraId="4EEAF651" w14:textId="77777777"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14:paraId="26F858F2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24B154D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DF60F1" w:rsidRPr="00DF60F1">
        <w:rPr>
          <w:sz w:val="22"/>
        </w:rPr>
        <w:t>Nokia, Nokia Shanghai Bell</w:t>
      </w:r>
    </w:p>
    <w:p w14:paraId="5B6A96A7" w14:textId="47BC4B5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F60F1" w:rsidRPr="00DF60F1">
        <w:rPr>
          <w:sz w:val="22"/>
        </w:rPr>
        <w:t>Almost contiguous</w:t>
      </w:r>
      <w:r w:rsidR="00DF60F1">
        <w:rPr>
          <w:sz w:val="22"/>
        </w:rPr>
        <w:t xml:space="preserve"> allocation</w:t>
      </w:r>
      <w:r w:rsidR="00DF60F1" w:rsidRPr="00DF60F1">
        <w:rPr>
          <w:sz w:val="22"/>
        </w:rPr>
        <w:t xml:space="preserve"> MPR</w:t>
      </w:r>
      <w:r w:rsidR="00DF60F1">
        <w:rPr>
          <w:sz w:val="22"/>
        </w:rPr>
        <w:t xml:space="preserve"> for CP-OFDM</w:t>
      </w:r>
    </w:p>
    <w:p w14:paraId="23226DA5" w14:textId="0D549CF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136CF" w:rsidRPr="006136CF">
        <w:rPr>
          <w:b/>
          <w:sz w:val="22"/>
        </w:rPr>
        <w:t>9.4.3.3.2</w:t>
      </w:r>
    </w:p>
    <w:p w14:paraId="7AD518C5" w14:textId="1039A0C0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55A9E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017E2D3B" w:rsidR="0043450E" w:rsidRPr="00D97FE6" w:rsidRDefault="000C3E2C" w:rsidP="0043450E">
      <w:r>
        <w:t>This paper is a continuation for [1] which was submitted to previous RAN4 meeting but not treated as contiguous MPR is prioritized based on earlier asgreement. This this contribution we added more results compared to [1]. Once the contiguous MPR for range 1 is agreed we expect RAN4 to work on almost contiguous MPR concept as it is very important for NR system performance as discussed in [2]. RAN4 has time until June 2018 to complete this task as it relates to NR SA operation.</w:t>
      </w:r>
    </w:p>
    <w:p w14:paraId="1F96953E" w14:textId="77777777" w:rsidR="0043450E" w:rsidRDefault="0043450E" w:rsidP="0043450E">
      <w:pPr>
        <w:pStyle w:val="Heading1"/>
      </w:pPr>
      <w:bookmarkStart w:id="1" w:name="_Toc286177644"/>
      <w:r>
        <w:t>2</w:t>
      </w:r>
      <w:r>
        <w:tab/>
        <w:t>Discussion</w:t>
      </w:r>
    </w:p>
    <w:p w14:paraId="39EE56ED" w14:textId="0A8F5874" w:rsidR="004C0103" w:rsidRDefault="00DF60F1" w:rsidP="0043450E">
      <w:r w:rsidRPr="00DF60F1">
        <w:t xml:space="preserve">To recap the </w:t>
      </w:r>
      <w:r>
        <w:t>purpose of this exercise we present picture 1 from [2] from which can be seen that it may not be possible to allocated fully contiguous spectrum to a UE</w:t>
      </w:r>
      <w:r w:rsidR="002F1493">
        <w:t>#3</w:t>
      </w:r>
      <w:r>
        <w:t xml:space="preserve"> as some RB’s needs to be reserved for</w:t>
      </w:r>
      <w:r w:rsidR="002F1493">
        <w:t xml:space="preserve"> PUCCH transmissions from UE#1 and 2</w:t>
      </w:r>
      <w:r>
        <w:t>.</w:t>
      </w:r>
    </w:p>
    <w:p w14:paraId="03E7955F" w14:textId="63A19F2E" w:rsidR="00DF60F1" w:rsidRDefault="00DF60F1" w:rsidP="00DF60F1">
      <w:pPr>
        <w:jc w:val="center"/>
      </w:pPr>
      <w:r>
        <w:rPr>
          <w:noProof/>
        </w:rPr>
        <w:drawing>
          <wp:inline distT="0" distB="0" distL="0" distR="0" wp14:anchorId="1DDA91CF" wp14:editId="6518819F">
            <wp:extent cx="4495800" cy="1857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49ABA" w14:textId="06AB07F1" w:rsidR="00DF60F1" w:rsidRDefault="002F1493" w:rsidP="00DF60F1">
      <w:pPr>
        <w:jc w:val="center"/>
        <w:rPr>
          <w:b/>
        </w:rPr>
      </w:pPr>
      <w:r>
        <w:rPr>
          <w:b/>
        </w:rPr>
        <w:t xml:space="preserve">Figure 1: Almost </w:t>
      </w:r>
      <w:r w:rsidR="00DF60F1">
        <w:rPr>
          <w:b/>
        </w:rPr>
        <w:t>co</w:t>
      </w:r>
      <w:r>
        <w:rPr>
          <w:b/>
        </w:rPr>
        <w:t>ntiguous PUSCH scenarios from [2</w:t>
      </w:r>
      <w:r w:rsidR="00DF60F1">
        <w:rPr>
          <w:b/>
        </w:rPr>
        <w:t>]</w:t>
      </w:r>
      <w:r>
        <w:rPr>
          <w:b/>
        </w:rPr>
        <w:t>, option 1</w:t>
      </w:r>
    </w:p>
    <w:p w14:paraId="7CAF8D6E" w14:textId="4F0499B8" w:rsidR="00FC13A6" w:rsidRDefault="00FC13A6" w:rsidP="002F1493">
      <w:r>
        <w:t>RAN1 has already agreed non-contiguous resource allocation for CP-OFDM</w:t>
      </w:r>
      <w:r w:rsidR="00B221DC">
        <w:t>. TS 38.800 V1.0.0 section 6.1.2.2.1 specifies the uplink resource allocation type 0 bitmap, from which a UE reads the RBs that are allocated to its uplink transmission.</w:t>
      </w:r>
    </w:p>
    <w:p w14:paraId="2F42F664" w14:textId="56AD70AB" w:rsidR="002F1493" w:rsidRDefault="003175B6" w:rsidP="002F1493">
      <w:r>
        <w:t>In [3</w:t>
      </w:r>
      <w:r w:rsidR="002F1493">
        <w:t>] we concluded that with CP-OFDM based waveforms, a wide PUSCH allocation can have gaps</w:t>
      </w:r>
      <w:r w:rsidR="00B221DC">
        <w:t xml:space="preserve"> e.g.</w:t>
      </w:r>
      <w:r w:rsidR="002F1493">
        <w:t xml:space="preserve"> at the PUCCH resource blocks assigned to other users, without significant impact to the achievable total output power.</w:t>
      </w:r>
    </w:p>
    <w:p w14:paraId="0E79D1F3" w14:textId="1F4B2AF4" w:rsidR="002F1493" w:rsidRDefault="002F1493" w:rsidP="002F1493">
      <w:r>
        <w:t>In this contribution we present further simulation results in Table 1.</w:t>
      </w:r>
    </w:p>
    <w:p w14:paraId="4F053FDC" w14:textId="78B0B20B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>Simulation method</w:t>
      </w:r>
      <w:r>
        <w:rPr>
          <w:lang w:val="en-US"/>
        </w:rPr>
        <w:t xml:space="preserve"> that was used is as follows</w:t>
      </w:r>
      <w:r w:rsidRPr="002F1493">
        <w:rPr>
          <w:lang w:val="en-US"/>
        </w:rPr>
        <w:t>:</w:t>
      </w:r>
    </w:p>
    <w:p w14:paraId="176FAE65" w14:textId="56C84528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Check large allocations starting at </w:t>
      </w:r>
      <w:r w:rsidR="00FC13A6">
        <w:rPr>
          <w:lang w:val="en-US"/>
        </w:rPr>
        <w:t>RB</w:t>
      </w:r>
      <w:r w:rsidRPr="002F1493">
        <w:rPr>
          <w:lang w:val="en-US"/>
        </w:rPr>
        <w:t>#0 (channel lower edge due to smallest guard band)</w:t>
      </w:r>
    </w:p>
    <w:p w14:paraId="32821981" w14:textId="77777777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Determine MPR for contiguous allocation</w:t>
      </w:r>
    </w:p>
    <w:p w14:paraId="21BB8778" w14:textId="188B7C79" w:rsid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Determine MPR for almost-contiguous allocation</w:t>
      </w:r>
      <w:r w:rsidR="00CB066A">
        <w:rPr>
          <w:lang w:val="en-US"/>
        </w:rPr>
        <w:t xml:space="preserve"> spanning the same total width</w:t>
      </w:r>
      <w:r w:rsidRPr="002F1493">
        <w:rPr>
          <w:lang w:val="en-US"/>
        </w:rPr>
        <w:t>, with 1 gap in the middle (different gap sizes)</w:t>
      </w:r>
      <w:r w:rsidR="00CB066A">
        <w:rPr>
          <w:lang w:val="en-US"/>
        </w:rPr>
        <w:t>. The total amount of allocated RBs is smaller by the amount of the gap size.</w:t>
      </w:r>
    </w:p>
    <w:p w14:paraId="136EFC69" w14:textId="7844C936" w:rsidR="002F1493" w:rsidRPr="002F1493" w:rsidRDefault="002F1493" w:rsidP="002F1493">
      <w:pPr>
        <w:rPr>
          <w:b/>
          <w:lang w:val="en-US"/>
        </w:rPr>
      </w:pPr>
      <w:r w:rsidRPr="002F1493">
        <w:rPr>
          <w:b/>
          <w:lang w:val="en-US"/>
        </w:rPr>
        <w:lastRenderedPageBreak/>
        <w:t>Table 1: MPR for almost contiguous allocation</w:t>
      </w:r>
    </w:p>
    <w:p w14:paraId="6A5C62EB" w14:textId="22CC9EA1" w:rsidR="002F1493" w:rsidRPr="000C3E2C" w:rsidRDefault="00FC13A6" w:rsidP="002F1493">
      <w:pPr>
        <w:rPr>
          <w:lang w:val="en-US"/>
        </w:rPr>
      </w:pPr>
      <w:r w:rsidRPr="00FC13A6">
        <w:rPr>
          <w:noProof/>
        </w:rPr>
        <w:drawing>
          <wp:inline distT="0" distB="0" distL="0" distR="0" wp14:anchorId="0B242DC2" wp14:editId="2163E0C8">
            <wp:extent cx="6120765" cy="14171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1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E9F6C" w14:textId="46C0A987" w:rsidR="002F1493" w:rsidRDefault="002F1493" w:rsidP="002F1493">
      <w:r>
        <w:t xml:space="preserve">From Table 1 it can be seen that gaps can be actually very large without impacting the necessary MPR. However </w:t>
      </w:r>
      <w:r w:rsidR="003E348E">
        <w:t>as stated earlier the scope of this work is to allow only small/moderate gaps to CP-OFDM signal to enable wideband operation in presence of gaps due to PUCCH. Tolerable gap size depende on the actual transmission bandwith.</w:t>
      </w:r>
    </w:p>
    <w:p w14:paraId="6834832C" w14:textId="507FBDC9" w:rsidR="003E348E" w:rsidRDefault="003E348E" w:rsidP="002F1493">
      <w:r>
        <w:t>The intention is to define limits for gaps such</w:t>
      </w:r>
      <w:r w:rsidR="00E3731C">
        <w:t xml:space="preserve"> </w:t>
      </w:r>
      <w:r>
        <w:t xml:space="preserve">way that the contiguous CP-OFDM MPR can be used and no new </w:t>
      </w:r>
      <w:r w:rsidR="00AC0E8F">
        <w:t xml:space="preserve">MPR </w:t>
      </w:r>
      <w:r>
        <w:t>requirement is necessary. This could be captured into the specification for example in following manner</w:t>
      </w:r>
    </w:p>
    <w:p w14:paraId="504B201D" w14:textId="537EB080" w:rsidR="003E348E" w:rsidRPr="003E348E" w:rsidRDefault="003E348E" w:rsidP="003E348E">
      <w:pPr>
        <w:rPr>
          <w:i/>
          <w:lang w:val="en-US"/>
        </w:rPr>
      </w:pPr>
      <w:r w:rsidRPr="003E348E">
        <w:rPr>
          <w:i/>
          <w:lang w:val="en-US"/>
        </w:rPr>
        <w:t>If CP-OFDM allocation satisfies foll</w:t>
      </w:r>
      <w:r w:rsidR="00AC0E8F">
        <w:rPr>
          <w:i/>
          <w:lang w:val="en-US"/>
        </w:rPr>
        <w:t>owing conditions it is considered</w:t>
      </w:r>
      <w:r w:rsidRPr="003E348E">
        <w:rPr>
          <w:i/>
          <w:lang w:val="en-US"/>
        </w:rPr>
        <w:t xml:space="preserve"> as almost contiguous allocation and MP</w:t>
      </w:r>
      <w:r>
        <w:rPr>
          <w:i/>
          <w:lang w:val="en-US"/>
        </w:rPr>
        <w:t>R is defined in Table xxx (normal</w:t>
      </w:r>
      <w:r w:rsidRPr="003E348E">
        <w:rPr>
          <w:i/>
          <w:lang w:val="en-US"/>
        </w:rPr>
        <w:t xml:space="preserve"> MPR)</w:t>
      </w:r>
    </w:p>
    <w:p w14:paraId="6D1BC6FC" w14:textId="2F16157E" w:rsidR="003E348E" w:rsidRPr="003E348E" w:rsidRDefault="003E348E" w:rsidP="003E348E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>
        <w:rPr>
          <w:i/>
          <w:lang w:val="en-US"/>
        </w:rPr>
        <w:t>Lcrb &gt; SU/FFS</w:t>
      </w:r>
      <w:r w:rsidRPr="003E348E">
        <w:rPr>
          <w:i/>
          <w:lang w:val="en-US"/>
        </w:rPr>
        <w:t xml:space="preserve"> of the given channel bandwidth</w:t>
      </w:r>
    </w:p>
    <w:p w14:paraId="2FA8EC6A" w14:textId="50A8E3A2" w:rsidR="003E348E" w:rsidRPr="003E348E" w:rsidRDefault="003E348E" w:rsidP="003E348E">
      <w:pPr>
        <w:pStyle w:val="ListParagraph"/>
        <w:numPr>
          <w:ilvl w:val="0"/>
          <w:numId w:val="1"/>
        </w:numPr>
        <w:rPr>
          <w:i/>
        </w:rPr>
      </w:pPr>
      <w:r w:rsidRPr="003E348E">
        <w:rPr>
          <w:i/>
          <w:lang w:val="en-US"/>
        </w:rPr>
        <w:t>Number of resource blocks which are not transmitted within transmission</w:t>
      </w:r>
      <w:r>
        <w:rPr>
          <w:i/>
          <w:lang w:val="en-US"/>
        </w:rPr>
        <w:t xml:space="preserve"> bandwidth are less than Lcrb/FFS</w:t>
      </w:r>
    </w:p>
    <w:p w14:paraId="7A31931E" w14:textId="53F59153" w:rsidR="003E348E" w:rsidRDefault="003E348E" w:rsidP="003E348E">
      <w:r w:rsidRPr="003E348E">
        <w:t>First</w:t>
      </w:r>
      <w:r>
        <w:t xml:space="preserve"> bullet can be used to limit the almost contiguous cases to allocations of certain sizes if needed.</w:t>
      </w:r>
    </w:p>
    <w:p w14:paraId="02E8F35B" w14:textId="77777777" w:rsidR="00AC0E8F" w:rsidRDefault="003E348E" w:rsidP="003E348E">
      <w:r>
        <w:t xml:space="preserve">Second bullet can be used to </w:t>
      </w:r>
      <w:r w:rsidR="00AC0E8F">
        <w:t>limit the number of not transmitted</w:t>
      </w:r>
      <w:r>
        <w:t xml:space="preserve"> RB’s to small/moderate amount</w:t>
      </w:r>
      <w:r w:rsidR="00AC0E8F">
        <w:t>.</w:t>
      </w:r>
    </w:p>
    <w:p w14:paraId="0ED5066E" w14:textId="7556EF09" w:rsidR="003E348E" w:rsidRPr="003E348E" w:rsidRDefault="00AC0E8F" w:rsidP="003E348E">
      <w:r>
        <w:t xml:space="preserve">In our view this kind of approach allows RAN4 to </w:t>
      </w:r>
      <w:r w:rsidR="00E3731C">
        <w:t>define MPR requirements also for almost contiguous allocations and still meet the timeline of NR.</w:t>
      </w:r>
      <w:r w:rsidR="003E348E">
        <w:t xml:space="preserve"> </w:t>
      </w:r>
      <w:r w:rsidR="00CB066A">
        <w:t>No RAN1 specification impact is seen.</w:t>
      </w:r>
    </w:p>
    <w:bookmarkEnd w:id="1"/>
    <w:p w14:paraId="07898F0E" w14:textId="77777777" w:rsidR="0043450E" w:rsidRDefault="0043450E" w:rsidP="0043450E">
      <w:pPr>
        <w:pStyle w:val="Heading1"/>
      </w:pPr>
      <w:r>
        <w:t>3</w:t>
      </w:r>
      <w:r>
        <w:tab/>
        <w:t>Conclusion</w:t>
      </w:r>
    </w:p>
    <w:p w14:paraId="4341AE1A" w14:textId="0724721D" w:rsidR="0043450E" w:rsidRDefault="00E3731C" w:rsidP="0043450E">
      <w:r>
        <w:t>In this contribution we have further elaborated the concept of almost contiguous MPR definition.</w:t>
      </w:r>
    </w:p>
    <w:p w14:paraId="49C1071E" w14:textId="77777777" w:rsidR="0043450E" w:rsidRDefault="0043450E" w:rsidP="0043450E">
      <w:pPr>
        <w:pStyle w:val="Heading1"/>
      </w:pPr>
      <w:r>
        <w:t>4</w:t>
      </w:r>
      <w:r>
        <w:tab/>
        <w:t>References</w:t>
      </w:r>
    </w:p>
    <w:p w14:paraId="2EB09E49" w14:textId="3F45B777" w:rsidR="00641C2E" w:rsidRDefault="00641C2E" w:rsidP="00FD085A">
      <w:r>
        <w:t xml:space="preserve">[1] </w:t>
      </w:r>
      <w:r w:rsidR="000C3E2C" w:rsidRPr="000C3E2C">
        <w:t>R4-1709473</w:t>
      </w:r>
      <w:r w:rsidR="00DF60F1">
        <w:t xml:space="preserve">, </w:t>
      </w:r>
      <w:r w:rsidR="000C3E2C" w:rsidRPr="000C3E2C">
        <w:t>Almost contiguous allocation MPR for CP-OFDM</w:t>
      </w:r>
      <w:r w:rsidR="00DF60F1">
        <w:t xml:space="preserve">, </w:t>
      </w:r>
      <w:r w:rsidR="00DF60F1" w:rsidRPr="00DF60F1">
        <w:t>Nokia, Nokia Shanghai Bell</w:t>
      </w:r>
      <w:r w:rsidR="000C3E2C">
        <w:t>, RAN4#NR AH3</w:t>
      </w:r>
    </w:p>
    <w:p w14:paraId="22E98AA8" w14:textId="6099D991" w:rsidR="00DF60F1" w:rsidRDefault="00DF60F1" w:rsidP="00DF60F1">
      <w:r>
        <w:t>[2</w:t>
      </w:r>
      <w:r w:rsidRPr="00B55BFC">
        <w:t>]</w:t>
      </w:r>
      <w:r w:rsidRPr="00B55BFC">
        <w:tab/>
        <w:t>R4-170</w:t>
      </w:r>
      <w:r>
        <w:t>6828</w:t>
      </w:r>
      <w:r w:rsidRPr="00B55BFC">
        <w:t xml:space="preserve">, </w:t>
      </w:r>
      <w:r w:rsidRPr="00AF2233">
        <w:t>Views on UL non-contiguous allocation</w:t>
      </w:r>
      <w:r w:rsidRPr="00B55BFC">
        <w:t xml:space="preserve">, </w:t>
      </w:r>
      <w:r w:rsidRPr="00AF2233">
        <w:t>NTT DOCOMO, INC.</w:t>
      </w:r>
      <w:r w:rsidRPr="00B55BFC">
        <w:t>, RAN4</w:t>
      </w:r>
      <w:r>
        <w:t xml:space="preserve"> NR Meeting#2. </w:t>
      </w:r>
    </w:p>
    <w:p w14:paraId="093C852B" w14:textId="66BCFD2C" w:rsidR="000C3E2C" w:rsidRDefault="000C3E2C" w:rsidP="00DF60F1">
      <w:r>
        <w:t xml:space="preserve">[3] </w:t>
      </w:r>
      <w:r w:rsidR="003175B6" w:rsidRPr="00DF60F1">
        <w:t>R4-1707597</w:t>
      </w:r>
      <w:r w:rsidR="003175B6">
        <w:t xml:space="preserve">, </w:t>
      </w:r>
      <w:r w:rsidR="003175B6" w:rsidRPr="00DF60F1">
        <w:t>Almost-contiguous uplink resource allocation for NR</w:t>
      </w:r>
      <w:r w:rsidR="003175B6">
        <w:t xml:space="preserve">, </w:t>
      </w:r>
      <w:r w:rsidR="003175B6" w:rsidRPr="00DF60F1">
        <w:t>Nokia, Nokia Shanghai Bell</w:t>
      </w:r>
      <w:r w:rsidR="003175B6">
        <w:t>, RAN4#84</w:t>
      </w:r>
    </w:p>
    <w:p w14:paraId="66A77850" w14:textId="77777777" w:rsidR="00DF60F1" w:rsidRDefault="00DF60F1" w:rsidP="00FD085A"/>
    <w:p w14:paraId="2F2DF123" w14:textId="77777777" w:rsidR="004C0103" w:rsidRDefault="004C0103"/>
    <w:sectPr w:rsidR="004C0103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94C60" w14:textId="77777777" w:rsidR="00251471" w:rsidRDefault="00251471" w:rsidP="002B3503">
      <w:pPr>
        <w:spacing w:after="0"/>
      </w:pPr>
      <w:r>
        <w:separator/>
      </w:r>
    </w:p>
  </w:endnote>
  <w:endnote w:type="continuationSeparator" w:id="0">
    <w:p w14:paraId="7AECD859" w14:textId="77777777" w:rsidR="00251471" w:rsidRDefault="0025147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461C0" w14:textId="77777777" w:rsidR="00251471" w:rsidRDefault="00251471" w:rsidP="002B3503">
      <w:pPr>
        <w:spacing w:after="0"/>
      </w:pPr>
      <w:r>
        <w:separator/>
      </w:r>
    </w:p>
  </w:footnote>
  <w:footnote w:type="continuationSeparator" w:id="0">
    <w:p w14:paraId="03E2C53D" w14:textId="77777777" w:rsidR="00251471" w:rsidRDefault="0025147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42FF0"/>
    <w:multiLevelType w:val="hybridMultilevel"/>
    <w:tmpl w:val="90D6EE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439E"/>
    <w:rsid w:val="000B4E56"/>
    <w:rsid w:val="000C3E2C"/>
    <w:rsid w:val="000F7CA6"/>
    <w:rsid w:val="00155A9E"/>
    <w:rsid w:val="00214C87"/>
    <w:rsid w:val="00251471"/>
    <w:rsid w:val="00291DDD"/>
    <w:rsid w:val="002A7181"/>
    <w:rsid w:val="002B3503"/>
    <w:rsid w:val="002F1493"/>
    <w:rsid w:val="003175B6"/>
    <w:rsid w:val="003E348E"/>
    <w:rsid w:val="00414085"/>
    <w:rsid w:val="0043450E"/>
    <w:rsid w:val="004C0103"/>
    <w:rsid w:val="004D3D81"/>
    <w:rsid w:val="006136CF"/>
    <w:rsid w:val="00641C2E"/>
    <w:rsid w:val="006C6840"/>
    <w:rsid w:val="007174BE"/>
    <w:rsid w:val="007A52FD"/>
    <w:rsid w:val="007A7496"/>
    <w:rsid w:val="008A4493"/>
    <w:rsid w:val="0092063F"/>
    <w:rsid w:val="00940559"/>
    <w:rsid w:val="009C66BA"/>
    <w:rsid w:val="009E5C59"/>
    <w:rsid w:val="00A451E8"/>
    <w:rsid w:val="00AC0E8F"/>
    <w:rsid w:val="00B221DC"/>
    <w:rsid w:val="00B65B59"/>
    <w:rsid w:val="00BC764C"/>
    <w:rsid w:val="00CB066A"/>
    <w:rsid w:val="00DF60F1"/>
    <w:rsid w:val="00E33B68"/>
    <w:rsid w:val="00E3731C"/>
    <w:rsid w:val="00F240E6"/>
    <w:rsid w:val="00FC13A6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74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A7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7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7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7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7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7496"/>
    <w:pPr>
      <w:outlineLvl w:val="5"/>
    </w:pPr>
  </w:style>
  <w:style w:type="paragraph" w:styleId="Heading7">
    <w:name w:val="heading 7"/>
    <w:basedOn w:val="H6"/>
    <w:next w:val="Normal"/>
    <w:qFormat/>
    <w:rsid w:val="007A7496"/>
    <w:pPr>
      <w:outlineLvl w:val="6"/>
    </w:pPr>
  </w:style>
  <w:style w:type="paragraph" w:styleId="Heading8">
    <w:name w:val="heading 8"/>
    <w:basedOn w:val="Heading1"/>
    <w:next w:val="Normal"/>
    <w:qFormat/>
    <w:rsid w:val="007A7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7496"/>
    <w:pPr>
      <w:outlineLvl w:val="8"/>
    </w:pPr>
  </w:style>
  <w:style w:type="character" w:default="1" w:styleId="DefaultParagraphFont">
    <w:name w:val="Default Paragraph Font"/>
    <w:semiHidden/>
    <w:rsid w:val="007A74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7496"/>
  </w:style>
  <w:style w:type="paragraph" w:styleId="TOC8">
    <w:name w:val="toc 8"/>
    <w:basedOn w:val="TOC1"/>
    <w:semiHidden/>
    <w:rsid w:val="007A7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7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A7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A7496"/>
    <w:pPr>
      <w:ind w:left="1701" w:hanging="1701"/>
    </w:pPr>
  </w:style>
  <w:style w:type="paragraph" w:styleId="TOC4">
    <w:name w:val="toc 4"/>
    <w:basedOn w:val="TOC3"/>
    <w:semiHidden/>
    <w:rsid w:val="007A7496"/>
    <w:pPr>
      <w:ind w:left="1418" w:hanging="1418"/>
    </w:pPr>
  </w:style>
  <w:style w:type="paragraph" w:styleId="TOC3">
    <w:name w:val="toc 3"/>
    <w:basedOn w:val="TOC2"/>
    <w:semiHidden/>
    <w:rsid w:val="007A7496"/>
    <w:pPr>
      <w:ind w:left="1134" w:hanging="1134"/>
    </w:pPr>
  </w:style>
  <w:style w:type="paragraph" w:styleId="TOC2">
    <w:name w:val="toc 2"/>
    <w:basedOn w:val="TOC1"/>
    <w:semiHidden/>
    <w:rsid w:val="007A7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496"/>
    <w:pPr>
      <w:ind w:left="284"/>
    </w:pPr>
  </w:style>
  <w:style w:type="paragraph" w:styleId="Index1">
    <w:name w:val="index 1"/>
    <w:basedOn w:val="Normal"/>
    <w:semiHidden/>
    <w:rsid w:val="007A7496"/>
    <w:pPr>
      <w:keepLines/>
      <w:spacing w:after="0"/>
    </w:pPr>
  </w:style>
  <w:style w:type="paragraph" w:customStyle="1" w:styleId="ZH">
    <w:name w:val="ZH"/>
    <w:rsid w:val="007A7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A7496"/>
    <w:pPr>
      <w:outlineLvl w:val="9"/>
    </w:pPr>
  </w:style>
  <w:style w:type="paragraph" w:styleId="ListNumber2">
    <w:name w:val="List Number 2"/>
    <w:basedOn w:val="ListNumber"/>
    <w:semiHidden/>
    <w:rsid w:val="007A7496"/>
    <w:pPr>
      <w:ind w:left="851"/>
    </w:pPr>
  </w:style>
  <w:style w:type="paragraph" w:styleId="Header">
    <w:name w:val="header"/>
    <w:semiHidden/>
    <w:rsid w:val="007A7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A7496"/>
    <w:rPr>
      <w:b/>
      <w:position w:val="6"/>
      <w:sz w:val="16"/>
    </w:rPr>
  </w:style>
  <w:style w:type="paragraph" w:styleId="FootnoteText">
    <w:name w:val="footnote text"/>
    <w:basedOn w:val="Normal"/>
    <w:semiHidden/>
    <w:rsid w:val="007A74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7496"/>
    <w:rPr>
      <w:b/>
    </w:rPr>
  </w:style>
  <w:style w:type="paragraph" w:customStyle="1" w:styleId="TAC">
    <w:name w:val="TAC"/>
    <w:basedOn w:val="TAL"/>
    <w:link w:val="TACChar"/>
    <w:rsid w:val="007A7496"/>
    <w:pPr>
      <w:jc w:val="center"/>
    </w:pPr>
  </w:style>
  <w:style w:type="paragraph" w:customStyle="1" w:styleId="TF">
    <w:name w:val="TF"/>
    <w:basedOn w:val="TH"/>
    <w:rsid w:val="007A7496"/>
    <w:pPr>
      <w:keepNext w:val="0"/>
      <w:spacing w:before="0" w:after="240"/>
    </w:pPr>
  </w:style>
  <w:style w:type="paragraph" w:customStyle="1" w:styleId="NO">
    <w:name w:val="NO"/>
    <w:basedOn w:val="Normal"/>
    <w:rsid w:val="007A7496"/>
    <w:pPr>
      <w:keepLines/>
      <w:ind w:left="1135" w:hanging="851"/>
    </w:pPr>
  </w:style>
  <w:style w:type="paragraph" w:styleId="TOC9">
    <w:name w:val="toc 9"/>
    <w:basedOn w:val="TOC8"/>
    <w:semiHidden/>
    <w:rsid w:val="007A7496"/>
    <w:pPr>
      <w:ind w:left="1418" w:hanging="1418"/>
    </w:pPr>
  </w:style>
  <w:style w:type="paragraph" w:customStyle="1" w:styleId="EX">
    <w:name w:val="EX"/>
    <w:basedOn w:val="Normal"/>
    <w:rsid w:val="007A7496"/>
    <w:pPr>
      <w:keepLines/>
      <w:ind w:left="1702" w:hanging="1418"/>
    </w:pPr>
  </w:style>
  <w:style w:type="paragraph" w:customStyle="1" w:styleId="FP">
    <w:name w:val="FP"/>
    <w:basedOn w:val="Normal"/>
    <w:rsid w:val="007A7496"/>
    <w:pPr>
      <w:spacing w:after="0"/>
    </w:pPr>
  </w:style>
  <w:style w:type="paragraph" w:customStyle="1" w:styleId="LD">
    <w:name w:val="LD"/>
    <w:rsid w:val="007A7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A7496"/>
    <w:pPr>
      <w:spacing w:after="0"/>
    </w:pPr>
  </w:style>
  <w:style w:type="paragraph" w:customStyle="1" w:styleId="EW">
    <w:name w:val="EW"/>
    <w:basedOn w:val="EX"/>
    <w:rsid w:val="007A7496"/>
    <w:pPr>
      <w:spacing w:after="0"/>
    </w:pPr>
  </w:style>
  <w:style w:type="paragraph" w:styleId="TOC6">
    <w:name w:val="toc 6"/>
    <w:basedOn w:val="TOC5"/>
    <w:next w:val="Normal"/>
    <w:semiHidden/>
    <w:rsid w:val="007A7496"/>
    <w:pPr>
      <w:ind w:left="1985" w:hanging="1985"/>
    </w:pPr>
  </w:style>
  <w:style w:type="paragraph" w:styleId="TOC7">
    <w:name w:val="toc 7"/>
    <w:basedOn w:val="TOC6"/>
    <w:next w:val="Normal"/>
    <w:semiHidden/>
    <w:rsid w:val="007A7496"/>
    <w:pPr>
      <w:ind w:left="2268" w:hanging="2268"/>
    </w:pPr>
  </w:style>
  <w:style w:type="paragraph" w:styleId="ListBullet2">
    <w:name w:val="List Bullet 2"/>
    <w:basedOn w:val="ListBullet"/>
    <w:semiHidden/>
    <w:rsid w:val="007A7496"/>
    <w:pPr>
      <w:ind w:left="851"/>
    </w:pPr>
  </w:style>
  <w:style w:type="paragraph" w:styleId="ListBullet3">
    <w:name w:val="List Bullet 3"/>
    <w:basedOn w:val="ListBullet2"/>
    <w:semiHidden/>
    <w:rsid w:val="007A7496"/>
    <w:pPr>
      <w:ind w:left="1135"/>
    </w:pPr>
  </w:style>
  <w:style w:type="paragraph" w:styleId="ListNumber">
    <w:name w:val="List Number"/>
    <w:basedOn w:val="List"/>
    <w:semiHidden/>
    <w:rsid w:val="007A7496"/>
  </w:style>
  <w:style w:type="paragraph" w:customStyle="1" w:styleId="EQ">
    <w:name w:val="EQ"/>
    <w:basedOn w:val="Normal"/>
    <w:next w:val="Normal"/>
    <w:rsid w:val="007A7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7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A7496"/>
    <w:pPr>
      <w:jc w:val="right"/>
    </w:pPr>
  </w:style>
  <w:style w:type="paragraph" w:customStyle="1" w:styleId="H6">
    <w:name w:val="H6"/>
    <w:basedOn w:val="Heading5"/>
    <w:next w:val="Normal"/>
    <w:rsid w:val="007A7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496"/>
    <w:pPr>
      <w:ind w:left="851" w:hanging="851"/>
    </w:pPr>
  </w:style>
  <w:style w:type="paragraph" w:customStyle="1" w:styleId="TAL">
    <w:name w:val="TAL"/>
    <w:basedOn w:val="Normal"/>
    <w:rsid w:val="007A7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A7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A7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A7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A7496"/>
    <w:pPr>
      <w:framePr w:wrap="notBeside" w:y="16161"/>
    </w:pPr>
  </w:style>
  <w:style w:type="character" w:customStyle="1" w:styleId="ZGSM">
    <w:name w:val="ZGSM"/>
    <w:rsid w:val="007A7496"/>
  </w:style>
  <w:style w:type="paragraph" w:styleId="List2">
    <w:name w:val="List 2"/>
    <w:basedOn w:val="List"/>
    <w:semiHidden/>
    <w:rsid w:val="007A7496"/>
    <w:pPr>
      <w:ind w:left="851"/>
    </w:pPr>
  </w:style>
  <w:style w:type="paragraph" w:customStyle="1" w:styleId="ZG">
    <w:name w:val="ZG"/>
    <w:rsid w:val="007A7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A7496"/>
    <w:pPr>
      <w:ind w:left="1135"/>
    </w:pPr>
  </w:style>
  <w:style w:type="paragraph" w:styleId="List4">
    <w:name w:val="List 4"/>
    <w:basedOn w:val="List3"/>
    <w:semiHidden/>
    <w:rsid w:val="007A7496"/>
    <w:pPr>
      <w:ind w:left="1418"/>
    </w:pPr>
  </w:style>
  <w:style w:type="paragraph" w:styleId="List5">
    <w:name w:val="List 5"/>
    <w:basedOn w:val="List4"/>
    <w:semiHidden/>
    <w:rsid w:val="007A7496"/>
    <w:pPr>
      <w:ind w:left="1702"/>
    </w:pPr>
  </w:style>
  <w:style w:type="paragraph" w:customStyle="1" w:styleId="EditorsNote">
    <w:name w:val="Editor's Note"/>
    <w:basedOn w:val="NO"/>
    <w:rsid w:val="007A7496"/>
    <w:rPr>
      <w:color w:val="FF0000"/>
    </w:rPr>
  </w:style>
  <w:style w:type="paragraph" w:styleId="List">
    <w:name w:val="List"/>
    <w:basedOn w:val="Normal"/>
    <w:semiHidden/>
    <w:rsid w:val="007A7496"/>
    <w:pPr>
      <w:ind w:left="568" w:hanging="284"/>
    </w:pPr>
  </w:style>
  <w:style w:type="paragraph" w:styleId="ListBullet">
    <w:name w:val="List Bullet"/>
    <w:basedOn w:val="List"/>
    <w:semiHidden/>
    <w:rsid w:val="007A7496"/>
  </w:style>
  <w:style w:type="paragraph" w:styleId="ListBullet4">
    <w:name w:val="List Bullet 4"/>
    <w:basedOn w:val="ListBullet3"/>
    <w:semiHidden/>
    <w:rsid w:val="007A7496"/>
    <w:pPr>
      <w:ind w:left="1418"/>
    </w:pPr>
  </w:style>
  <w:style w:type="paragraph" w:styleId="ListBullet5">
    <w:name w:val="List Bullet 5"/>
    <w:basedOn w:val="ListBullet4"/>
    <w:semiHidden/>
    <w:rsid w:val="007A7496"/>
    <w:pPr>
      <w:ind w:left="1702"/>
    </w:pPr>
  </w:style>
  <w:style w:type="paragraph" w:customStyle="1" w:styleId="B1">
    <w:name w:val="B1"/>
    <w:basedOn w:val="List"/>
    <w:rsid w:val="007A7496"/>
  </w:style>
  <w:style w:type="paragraph" w:customStyle="1" w:styleId="B2">
    <w:name w:val="B2"/>
    <w:basedOn w:val="List2"/>
    <w:rsid w:val="007A7496"/>
  </w:style>
  <w:style w:type="paragraph" w:customStyle="1" w:styleId="B3">
    <w:name w:val="B3"/>
    <w:basedOn w:val="List3"/>
    <w:rsid w:val="007A7496"/>
  </w:style>
  <w:style w:type="paragraph" w:customStyle="1" w:styleId="B4">
    <w:name w:val="B4"/>
    <w:basedOn w:val="List4"/>
    <w:rsid w:val="007A7496"/>
  </w:style>
  <w:style w:type="paragraph" w:customStyle="1" w:styleId="B5">
    <w:name w:val="B5"/>
    <w:basedOn w:val="List5"/>
    <w:rsid w:val="007A7496"/>
  </w:style>
  <w:style w:type="paragraph" w:styleId="Footer">
    <w:name w:val="footer"/>
    <w:basedOn w:val="Header"/>
    <w:semiHidden/>
    <w:rsid w:val="007A7496"/>
    <w:pPr>
      <w:jc w:val="center"/>
    </w:pPr>
    <w:rPr>
      <w:i/>
    </w:rPr>
  </w:style>
  <w:style w:type="paragraph" w:customStyle="1" w:styleId="ZTD">
    <w:name w:val="ZTD"/>
    <w:basedOn w:val="ZB"/>
    <w:rsid w:val="007A74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E3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2017-10-02T13:29:00Z</dcterms:created>
  <dcterms:modified xsi:type="dcterms:W3CDTF">2017-10-02T13:30:00Z</dcterms:modified>
</cp:coreProperties>
</file>